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6223" w14:textId="19FE25E5" w:rsidR="00D30CEA" w:rsidRPr="00D30CEA" w:rsidRDefault="00D30CEA" w:rsidP="00D30CEA">
      <w:pPr>
        <w:spacing w:line="276" w:lineRule="auto"/>
        <w:rPr>
          <w:rFonts w:ascii="Calibri" w:eastAsia="Calibri" w:hAnsi="Calibri"/>
          <w:noProof/>
          <w:sz w:val="22"/>
          <w:szCs w:val="22"/>
        </w:rPr>
      </w:pPr>
    </w:p>
    <w:p w14:paraId="5D07A717" w14:textId="393E6476" w:rsidR="00A9138E" w:rsidRDefault="00481D2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0E8BD" wp14:editId="71F55E78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1828800" cy="1404620"/>
                <wp:effectExtent l="0" t="0" r="1905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480E0" w14:textId="77777777" w:rsidR="00481D24" w:rsidRDefault="00481D24" w:rsidP="00481D24">
                            <w:pPr>
                              <w:jc w:val="center"/>
                            </w:pPr>
                            <w:r>
                              <w:t>Coordonnées du service de santé au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0E8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9.55pt;width:2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/8EQIAACAEAAAOAAAAZHJzL2Uyb0RvYy54bWysk1Fv0zAQx9+R+A6W32nSqh1d1HQaHUVI&#10;YyANPoDjOI2F4zNnt0n59JydrqsGvCD8YNk55++73/29uhk6ww4KvQZb8ukk50xZCbW2u5J/+7p9&#10;s+TMB2FrYcCqkh+V5zfr169WvSvUDFowtUJGItYXvSt5G4IrsszLVnXCT8ApS8EGsBOBtrjLahQ9&#10;qXcmm+X5VdYD1g5BKu/p690Y5Ouk3zRKhs9N41VgpuSUW0gzprmKc7ZeiWKHwrVantIQ/5BFJ7Sl&#10;S89SdyIItkf9m1SnJYKHJkwkdBk0jZYq1UDVTPMX1Ty2wqlUC8Hx7ozJ/z9Z+XB4dF+QheEdDNTA&#10;VIR39yC/e2Zh0wq7U7eI0LdK1HTxNCLLeueL068RtS98FKn6T1BTk8U+QBIaGuwiFaqTkTo14HiG&#10;robAZLxyOVsucwpJik3n+fxqltqSieLpd4c+fFDQsbgoOVJXk7w43PsQ0xHF05F4mwej6602Jm1w&#10;V20MsoMgB2zTSBW8OGYs60t+vZgtRgJ/lcjT+JNEpwNZ2eiu5FQPjdFckdt7WyejBaHNuKaUjT2B&#10;jOxGimGoBjoYgVZQHwkpwmhZemK0aAF/ctaTXUvuf+wFKs7MR0ttuZ7O59HfaTNfvCWGDC8j1WVE&#10;WElSJQ+cjctNSG8iAXO31L6tTmCfMznlSjZMvE9PJvr8cp9OPT/s9S8AAAD//wMAUEsDBBQABgAI&#10;AAAAIQDIxU9k2wAAAAcBAAAPAAAAZHJzL2Rvd25yZXYueG1sTI9Bb8IwDIXvk/gPkZF2QSMFBipd&#10;U8SQOO1Ex+6hMW21xilJgPLv5522m/2e9fy9fDPYTtzQh9aRgtk0AYFUOdNSreD4uX9JQYSoyejO&#10;ESp4YIBNMXrKdWbcnQ54K2MtOIRCphU0MfaZlKFq0OowdT0Se2fnrY68+loar+8cbjs5T5KVtLol&#10;/tDoHncNVt/l1SpYXcrF5OPLTOjw2L/7yi7N7rhU6nk8bN9ARBzi3zH84jM6FMx0clcyQXQKuEhk&#10;dT0Dwe48TVk48fCaLEAWufzPX/wAAAD//wMAUEsBAi0AFAAGAAgAAAAhALaDOJL+AAAA4QEAABMA&#10;AAAAAAAAAAAAAAAAAAAAAFtDb250ZW50X1R5cGVzXS54bWxQSwECLQAUAAYACAAAACEAOP0h/9YA&#10;AACUAQAACwAAAAAAAAAAAAAAAAAvAQAAX3JlbHMvLnJlbHNQSwECLQAUAAYACAAAACEAB1zP/BEC&#10;AAAgBAAADgAAAAAAAAAAAAAAAAAuAgAAZHJzL2Uyb0RvYy54bWxQSwECLQAUAAYACAAAACEAyMVP&#10;ZNsAAAAHAQAADwAAAAAAAAAAAAAAAABrBAAAZHJzL2Rvd25yZXYueG1sUEsFBgAAAAAEAAQA8wAA&#10;AHMFAAAAAA==&#10;">
                <v:textbox style="mso-fit-shape-to-text:t">
                  <w:txbxContent>
                    <w:p w14:paraId="1F0480E0" w14:textId="77777777" w:rsidR="00481D24" w:rsidRDefault="00481D24" w:rsidP="00481D24">
                      <w:pPr>
                        <w:jc w:val="center"/>
                      </w:pPr>
                      <w:r>
                        <w:t>Coordonnées du service de santé au travail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4F295" w14:textId="77777777" w:rsidR="00481D24" w:rsidRDefault="00481D24" w:rsidP="00987A66">
      <w:pPr>
        <w:pStyle w:val="Default"/>
        <w:ind w:left="708" w:firstLine="708"/>
        <w:jc w:val="both"/>
      </w:pPr>
    </w:p>
    <w:p w14:paraId="2791B22B" w14:textId="77777777" w:rsidR="00481D24" w:rsidRDefault="00481D24" w:rsidP="00987A66">
      <w:pPr>
        <w:pStyle w:val="Default"/>
        <w:ind w:left="708" w:firstLine="708"/>
        <w:jc w:val="both"/>
      </w:pPr>
    </w:p>
    <w:p w14:paraId="3AA4C8FC" w14:textId="77777777" w:rsidR="00481D24" w:rsidRDefault="00481D24" w:rsidP="00987A66">
      <w:pPr>
        <w:pStyle w:val="Default"/>
        <w:ind w:left="708" w:firstLine="708"/>
        <w:jc w:val="both"/>
      </w:pPr>
    </w:p>
    <w:p w14:paraId="6968A90F" w14:textId="77777777" w:rsidR="00481D24" w:rsidRDefault="00481D24" w:rsidP="00987A66">
      <w:pPr>
        <w:pStyle w:val="Default"/>
        <w:ind w:left="708" w:firstLine="708"/>
        <w:jc w:val="both"/>
      </w:pPr>
    </w:p>
    <w:p w14:paraId="4FDC24C8" w14:textId="77777777" w:rsidR="00481D24" w:rsidRDefault="00481D24" w:rsidP="00987A66">
      <w:pPr>
        <w:pStyle w:val="Default"/>
        <w:ind w:left="708" w:firstLine="708"/>
        <w:jc w:val="both"/>
      </w:pPr>
    </w:p>
    <w:p w14:paraId="28D0E597" w14:textId="6F2A967D" w:rsidR="00744C57" w:rsidRPr="00A829D5" w:rsidRDefault="00987A66" w:rsidP="00987A66">
      <w:pPr>
        <w:pStyle w:val="Default"/>
        <w:ind w:left="708" w:firstLine="708"/>
        <w:jc w:val="both"/>
        <w:rPr>
          <w:b/>
          <w:sz w:val="28"/>
          <w:u w:val="single"/>
        </w:rPr>
      </w:pPr>
      <w:r w:rsidRPr="00A829D5">
        <w:rPr>
          <w:b/>
          <w:sz w:val="28"/>
          <w:u w:val="single"/>
        </w:rPr>
        <w:t>Travail dans un service à risque de tuberculose</w:t>
      </w:r>
      <w:r w:rsidR="00C97E28">
        <w:rPr>
          <w:b/>
          <w:sz w:val="28"/>
          <w:u w:val="single"/>
        </w:rPr>
        <w:t>s</w:t>
      </w:r>
      <w:r w:rsidR="00744C57" w:rsidRPr="00A829D5">
        <w:rPr>
          <w:b/>
          <w:sz w:val="28"/>
          <w:u w:val="single"/>
        </w:rPr>
        <w:t xml:space="preserve"> </w:t>
      </w:r>
    </w:p>
    <w:p w14:paraId="7104ADA4" w14:textId="77777777" w:rsidR="00744C57" w:rsidRPr="00744C57" w:rsidRDefault="00744C57" w:rsidP="00744C57">
      <w:pPr>
        <w:pStyle w:val="Default"/>
        <w:jc w:val="both"/>
      </w:pPr>
    </w:p>
    <w:p w14:paraId="5B8659F9" w14:textId="77777777" w:rsidR="00744C57" w:rsidRPr="00744C57" w:rsidRDefault="00744C57" w:rsidP="00744C57">
      <w:pPr>
        <w:pStyle w:val="Default"/>
        <w:jc w:val="both"/>
      </w:pPr>
    </w:p>
    <w:p w14:paraId="4C3686CA" w14:textId="01183ADE" w:rsidR="00744C57" w:rsidRDefault="00744C57" w:rsidP="00744C57">
      <w:pPr>
        <w:pStyle w:val="Default"/>
        <w:jc w:val="both"/>
      </w:pPr>
      <w:r w:rsidRPr="00744C57">
        <w:t xml:space="preserve">Vous </w:t>
      </w:r>
      <w:r w:rsidR="00987A66">
        <w:t>travaillez dans un service où séjournent potentiellement plusieurs fois par an des</w:t>
      </w:r>
      <w:r w:rsidRPr="00744C57">
        <w:t xml:space="preserve"> patient</w:t>
      </w:r>
      <w:r w:rsidR="00987A66">
        <w:t>s</w:t>
      </w:r>
      <w:r w:rsidRPr="00744C57">
        <w:t xml:space="preserve"> tuberculeux</w:t>
      </w:r>
      <w:r w:rsidR="001D5C9C">
        <w:t xml:space="preserve"> </w:t>
      </w:r>
      <w:r w:rsidRPr="00744C57">
        <w:t xml:space="preserve">contagieux. </w:t>
      </w:r>
      <w:r w:rsidR="000A787E">
        <w:t xml:space="preserve">Il peut </w:t>
      </w:r>
      <w:r w:rsidR="001D5C9C">
        <w:t xml:space="preserve">aussi </w:t>
      </w:r>
      <w:r w:rsidR="000A787E">
        <w:t>arriver que vous preniez en charge ces patients avant la mise en place des précautions complémentaires « AIR ».</w:t>
      </w:r>
    </w:p>
    <w:p w14:paraId="62DDCB59" w14:textId="77777777" w:rsidR="00987A66" w:rsidRDefault="00987A66" w:rsidP="00744C57">
      <w:pPr>
        <w:pStyle w:val="Default"/>
        <w:jc w:val="both"/>
      </w:pPr>
    </w:p>
    <w:p w14:paraId="1B673BE5" w14:textId="77777777" w:rsidR="00481D24" w:rsidRDefault="00987A66" w:rsidP="00744C57">
      <w:pPr>
        <w:pStyle w:val="Default"/>
        <w:jc w:val="both"/>
      </w:pPr>
      <w:r>
        <w:t xml:space="preserve">Dans ces conditions, </w:t>
      </w:r>
      <w:r w:rsidR="00481D24">
        <w:t>il n’est pas réaliste d’effectuer des tests de dépistage à chaque fois que vous prenez en charge un patient contagieux.</w:t>
      </w:r>
    </w:p>
    <w:p w14:paraId="71CEF89C" w14:textId="3A287A8C" w:rsidR="00744C57" w:rsidRDefault="00481D24" w:rsidP="00744C57">
      <w:pPr>
        <w:pStyle w:val="Default"/>
        <w:jc w:val="both"/>
      </w:pPr>
      <w:r>
        <w:t xml:space="preserve">Cependant, </w:t>
      </w:r>
      <w:r w:rsidR="00987A66">
        <w:t>a</w:t>
      </w:r>
      <w:r w:rsidR="00744C57" w:rsidRPr="00744C57">
        <w:t>fin de</w:t>
      </w:r>
      <w:r>
        <w:t xml:space="preserve"> diagnostiquer </w:t>
      </w:r>
      <w:r w:rsidR="00987A66">
        <w:t>une éventuelle contamination</w:t>
      </w:r>
      <w:r w:rsidR="00DA588A">
        <w:t xml:space="preserve"> (</w:t>
      </w:r>
      <w:r w:rsidR="00E017C1">
        <w:t xml:space="preserve">le plus souvent asymptomatique </w:t>
      </w:r>
      <w:r w:rsidR="00DA588A">
        <w:t>- dite « latente » - donc sans risque pour votre entourage)</w:t>
      </w:r>
      <w:r w:rsidR="00987A66">
        <w:t xml:space="preserve">, </w:t>
      </w:r>
      <w:r w:rsidR="00DA588A">
        <w:t xml:space="preserve">un </w:t>
      </w:r>
      <w:r w:rsidR="00DA588A" w:rsidRPr="00DA588A">
        <w:rPr>
          <w:b/>
        </w:rPr>
        <w:t xml:space="preserve">test </w:t>
      </w:r>
      <w:r w:rsidR="00DA588A">
        <w:t>par</w:t>
      </w:r>
      <w:r w:rsidR="00744C57" w:rsidRPr="00744C57">
        <w:t xml:space="preserve"> i</w:t>
      </w:r>
      <w:proofErr w:type="spellStart"/>
      <w:r w:rsidR="00744C57" w:rsidRPr="00744C57">
        <w:t>ntra-d</w:t>
      </w:r>
      <w:r w:rsidR="00E017C1">
        <w:t>ermo</w:t>
      </w:r>
      <w:proofErr w:type="spellEnd"/>
      <w:r w:rsidR="00E017C1">
        <w:t xml:space="preserve"> réaction à la tuberculine </w:t>
      </w:r>
      <w:r>
        <w:t xml:space="preserve">vous sera </w:t>
      </w:r>
      <w:proofErr w:type="gramStart"/>
      <w:r>
        <w:t>proposé</w:t>
      </w:r>
      <w:proofErr w:type="gramEnd"/>
      <w:r w:rsidR="00987A66">
        <w:t xml:space="preserve"> </w:t>
      </w:r>
      <w:r w:rsidR="00987A66" w:rsidRPr="00DA588A">
        <w:rPr>
          <w:b/>
        </w:rPr>
        <w:t>tous les 2 ans</w:t>
      </w:r>
      <w:r w:rsidR="00987A66">
        <w:t xml:space="preserve"> ; d’autres examens </w:t>
      </w:r>
      <w:r w:rsidR="00E017C1">
        <w:t>(</w:t>
      </w:r>
      <w:proofErr w:type="spellStart"/>
      <w:r w:rsidR="00E017C1">
        <w:t>Quantiféron</w:t>
      </w:r>
      <w:proofErr w:type="spellEnd"/>
      <w:r w:rsidR="00E017C1" w:rsidRPr="00E017C1">
        <w:rPr>
          <w:vertAlign w:val="superscript"/>
        </w:rPr>
        <w:t>®</w:t>
      </w:r>
      <w:r w:rsidR="00E017C1">
        <w:t xml:space="preserve">, radio thoracique) </w:t>
      </w:r>
      <w:r w:rsidR="00987A66">
        <w:t>seront possibles en fonction des résultats de ce premier test.</w:t>
      </w:r>
    </w:p>
    <w:p w14:paraId="2C246C5D" w14:textId="77777777" w:rsidR="00987A66" w:rsidRDefault="00987A66" w:rsidP="00744C57">
      <w:pPr>
        <w:pStyle w:val="Default"/>
        <w:jc w:val="both"/>
      </w:pPr>
    </w:p>
    <w:p w14:paraId="0C5DF0A6" w14:textId="405E2A5F" w:rsidR="00987A66" w:rsidRDefault="00987A66" w:rsidP="00744C57">
      <w:pPr>
        <w:pStyle w:val="Default"/>
        <w:jc w:val="both"/>
      </w:pPr>
      <w:r w:rsidRPr="00DA588A">
        <w:rPr>
          <w:b/>
          <w:i/>
        </w:rPr>
        <w:t>Pourquoi tous les 2 ans ?</w:t>
      </w:r>
      <w:r>
        <w:t xml:space="preserve"> Parce que c’est </w:t>
      </w:r>
      <w:r w:rsidR="00481D24">
        <w:t xml:space="preserve">le plus souvent et </w:t>
      </w:r>
      <w:r>
        <w:t xml:space="preserve">au plus tard dans les 2 ans qui suivent un contact avec un patient contagieux qu’une tuberculose pulmonaire </w:t>
      </w:r>
      <w:r w:rsidR="00DA588A">
        <w:t>(non « latente », donc à risque pour vous et contagieuse pour votre entourage) peut se déclarer et devrait être traitée.</w:t>
      </w:r>
      <w:r w:rsidR="00E017C1">
        <w:t xml:space="preserve"> Le diagnostic d’une infection « latente » (asymptomatique) conduit parfois aussi à un traitement après discussion avec les infectiologues et</w:t>
      </w:r>
      <w:r w:rsidR="00481D24">
        <w:t xml:space="preserve"> </w:t>
      </w:r>
      <w:r w:rsidR="00E017C1">
        <w:t>pneumologues.</w:t>
      </w:r>
    </w:p>
    <w:p w14:paraId="0AE5C103" w14:textId="77777777" w:rsidR="00744C57" w:rsidRDefault="00744C57" w:rsidP="00744C57">
      <w:pPr>
        <w:pStyle w:val="Default"/>
        <w:jc w:val="both"/>
      </w:pPr>
    </w:p>
    <w:p w14:paraId="2B2A461D" w14:textId="77777777" w:rsidR="00DA588A" w:rsidRDefault="00DA588A" w:rsidP="00744C57">
      <w:pPr>
        <w:pStyle w:val="Default"/>
        <w:jc w:val="both"/>
      </w:pPr>
    </w:p>
    <w:p w14:paraId="0FD09EF4" w14:textId="77777777" w:rsidR="00744C57" w:rsidRPr="00DA588A" w:rsidRDefault="00744C57" w:rsidP="00DA588A">
      <w:pPr>
        <w:pStyle w:val="Default"/>
        <w:ind w:right="-141"/>
        <w:jc w:val="both"/>
        <w:rPr>
          <w:b/>
        </w:rPr>
      </w:pPr>
      <w:r w:rsidRPr="00DA588A">
        <w:rPr>
          <w:b/>
          <w:highlight w:val="yellow"/>
          <w:u w:val="single"/>
        </w:rPr>
        <w:t xml:space="preserve">Dans l’intervalle </w:t>
      </w:r>
      <w:r w:rsidR="00987A66" w:rsidRPr="00DA588A">
        <w:rPr>
          <w:b/>
          <w:highlight w:val="yellow"/>
          <w:u w:val="single"/>
        </w:rPr>
        <w:t>des 2 ans</w:t>
      </w:r>
      <w:r w:rsidR="00987A66" w:rsidRPr="00DA588A">
        <w:rPr>
          <w:highlight w:val="yellow"/>
          <w:u w:val="single"/>
        </w:rPr>
        <w:t>,</w:t>
      </w:r>
      <w:r w:rsidRPr="00DA588A">
        <w:rPr>
          <w:highlight w:val="yellow"/>
          <w:u w:val="single"/>
        </w:rPr>
        <w:t xml:space="preserve"> </w:t>
      </w:r>
      <w:r w:rsidRPr="00DA588A">
        <w:rPr>
          <w:b/>
          <w:highlight w:val="yellow"/>
          <w:u w:val="single"/>
        </w:rPr>
        <w:t>voici rappelés les signes qui doivent vous alerter</w:t>
      </w:r>
      <w:r w:rsidR="00DA588A">
        <w:rPr>
          <w:b/>
          <w:highlight w:val="yellow"/>
          <w:u w:val="single"/>
        </w:rPr>
        <w:t xml:space="preserve"> </w:t>
      </w:r>
      <w:r w:rsidRPr="00DA588A">
        <w:rPr>
          <w:b/>
          <w:highlight w:val="yellow"/>
          <w:u w:val="single"/>
        </w:rPr>
        <w:t>:</w:t>
      </w:r>
      <w:r w:rsidRPr="00DA588A">
        <w:rPr>
          <w:b/>
        </w:rPr>
        <w:t xml:space="preserve"> </w:t>
      </w:r>
    </w:p>
    <w:p w14:paraId="516EB701" w14:textId="77777777" w:rsidR="00744C57" w:rsidRPr="00744C57" w:rsidRDefault="00744C57" w:rsidP="00744C57">
      <w:pPr>
        <w:pStyle w:val="Default"/>
        <w:jc w:val="both"/>
      </w:pPr>
    </w:p>
    <w:p w14:paraId="1F6F7C54" w14:textId="77777777" w:rsidR="00744C57" w:rsidRPr="00DA588A" w:rsidRDefault="00744C57" w:rsidP="00DA588A">
      <w:pPr>
        <w:pStyle w:val="Default"/>
        <w:numPr>
          <w:ilvl w:val="0"/>
          <w:numId w:val="1"/>
        </w:numPr>
        <w:jc w:val="both"/>
        <w:rPr>
          <w:b/>
          <w:color w:val="FF0000"/>
        </w:rPr>
      </w:pPr>
      <w:r w:rsidRPr="00DA588A">
        <w:rPr>
          <w:b/>
          <w:color w:val="FF0000"/>
        </w:rPr>
        <w:t xml:space="preserve">Signes généraux : </w:t>
      </w:r>
    </w:p>
    <w:p w14:paraId="130169A0" w14:textId="77777777" w:rsidR="00DA588A" w:rsidRPr="00A829D5" w:rsidRDefault="00DA588A" w:rsidP="00DA588A">
      <w:pPr>
        <w:pStyle w:val="Default"/>
        <w:ind w:left="720"/>
        <w:jc w:val="both"/>
        <w:rPr>
          <w:b/>
        </w:rPr>
      </w:pPr>
    </w:p>
    <w:p w14:paraId="383DE110" w14:textId="77777777" w:rsidR="00744C57" w:rsidRPr="00744C57" w:rsidRDefault="00744C57" w:rsidP="00744C57">
      <w:pPr>
        <w:pStyle w:val="Default"/>
        <w:jc w:val="both"/>
      </w:pPr>
      <w:r w:rsidRPr="00744C57">
        <w:t xml:space="preserve">- amaigrissement, perte d’appétit, fatigue inexpliqués </w:t>
      </w:r>
    </w:p>
    <w:p w14:paraId="38EFF6A8" w14:textId="77777777" w:rsidR="00744C57" w:rsidRPr="00744C57" w:rsidRDefault="00744C57" w:rsidP="00744C57">
      <w:pPr>
        <w:pStyle w:val="Default"/>
        <w:jc w:val="both"/>
      </w:pPr>
      <w:r w:rsidRPr="00744C57">
        <w:t xml:space="preserve">- sueurs nocturnes inhabituelles et inexpliquées </w:t>
      </w:r>
    </w:p>
    <w:p w14:paraId="68D66EAF" w14:textId="77777777" w:rsidR="00744C57" w:rsidRPr="00744C57" w:rsidRDefault="00744C57" w:rsidP="00744C57">
      <w:pPr>
        <w:pStyle w:val="Default"/>
        <w:jc w:val="both"/>
      </w:pPr>
      <w:r w:rsidRPr="00744C57">
        <w:t>- fièvre persistante</w:t>
      </w:r>
      <w:r w:rsidR="001A3F93">
        <w:t>, même modérée,</w:t>
      </w:r>
      <w:r w:rsidRPr="00744C57">
        <w:t xml:space="preserve"> associée ou non à des signes respiratoires </w:t>
      </w:r>
    </w:p>
    <w:p w14:paraId="05611FBF" w14:textId="77777777" w:rsidR="00744C57" w:rsidRDefault="00744C57" w:rsidP="00744C57">
      <w:pPr>
        <w:pStyle w:val="Default"/>
        <w:jc w:val="both"/>
      </w:pPr>
      <w:r w:rsidRPr="00744C57">
        <w:t xml:space="preserve">- apparition de ganglions autour du cou ou de la mâchoire </w:t>
      </w:r>
    </w:p>
    <w:p w14:paraId="7A0B92A3" w14:textId="77777777" w:rsidR="00744C57" w:rsidRPr="00744C57" w:rsidRDefault="00744C57" w:rsidP="00744C57">
      <w:pPr>
        <w:pStyle w:val="Default"/>
        <w:jc w:val="both"/>
      </w:pPr>
    </w:p>
    <w:p w14:paraId="29057685" w14:textId="77777777" w:rsidR="00744C57" w:rsidRPr="00DA588A" w:rsidRDefault="00744C57" w:rsidP="00DA588A">
      <w:pPr>
        <w:pStyle w:val="Default"/>
        <w:numPr>
          <w:ilvl w:val="0"/>
          <w:numId w:val="1"/>
        </w:numPr>
        <w:jc w:val="both"/>
        <w:rPr>
          <w:b/>
          <w:color w:val="FF0000"/>
        </w:rPr>
      </w:pPr>
      <w:r w:rsidRPr="00DA588A">
        <w:rPr>
          <w:b/>
          <w:color w:val="FF0000"/>
        </w:rPr>
        <w:t xml:space="preserve">Signes respiratoires : </w:t>
      </w:r>
    </w:p>
    <w:p w14:paraId="51A0972B" w14:textId="77777777" w:rsidR="00DA588A" w:rsidRPr="00A829D5" w:rsidRDefault="00DA588A" w:rsidP="00DA588A">
      <w:pPr>
        <w:pStyle w:val="Default"/>
        <w:ind w:left="720"/>
        <w:jc w:val="both"/>
        <w:rPr>
          <w:b/>
        </w:rPr>
      </w:pPr>
    </w:p>
    <w:p w14:paraId="18D43812" w14:textId="77777777" w:rsidR="00744C57" w:rsidRPr="00744C57" w:rsidRDefault="00744C57" w:rsidP="00744C57">
      <w:pPr>
        <w:pStyle w:val="Default"/>
        <w:jc w:val="both"/>
      </w:pPr>
      <w:r w:rsidRPr="00744C57">
        <w:t xml:space="preserve">- Toux sèche ou grasse persistante au-delà de 15 jours </w:t>
      </w:r>
    </w:p>
    <w:p w14:paraId="2077D026" w14:textId="77777777" w:rsidR="00744C57" w:rsidRPr="00744C57" w:rsidRDefault="00744C57" w:rsidP="00744C57">
      <w:pPr>
        <w:pStyle w:val="Default"/>
        <w:jc w:val="both"/>
      </w:pPr>
      <w:r w:rsidRPr="00744C57">
        <w:t xml:space="preserve">- difficultés respiratoires </w:t>
      </w:r>
    </w:p>
    <w:p w14:paraId="2F7911D4" w14:textId="77777777" w:rsidR="00744C57" w:rsidRPr="00744C57" w:rsidRDefault="00744C57" w:rsidP="00744C57">
      <w:pPr>
        <w:pStyle w:val="Default"/>
        <w:jc w:val="both"/>
      </w:pPr>
      <w:r w:rsidRPr="00744C57">
        <w:t xml:space="preserve">- crachats récents avec ou sans trace de sang </w:t>
      </w:r>
    </w:p>
    <w:p w14:paraId="52ADCB8E" w14:textId="77777777" w:rsidR="00744C57" w:rsidRDefault="00744C57" w:rsidP="00744C57">
      <w:pPr>
        <w:pStyle w:val="Default"/>
        <w:jc w:val="both"/>
      </w:pPr>
      <w:r w:rsidRPr="00744C57">
        <w:t xml:space="preserve">- douleurs à la poitrine </w:t>
      </w:r>
      <w:r w:rsidR="00DA69EB">
        <w:t>persistantes</w:t>
      </w:r>
    </w:p>
    <w:p w14:paraId="7066E2BF" w14:textId="77777777" w:rsidR="00744C57" w:rsidRPr="00744C57" w:rsidRDefault="00744C57" w:rsidP="00744C57">
      <w:pPr>
        <w:pStyle w:val="Default"/>
        <w:jc w:val="both"/>
      </w:pPr>
    </w:p>
    <w:p w14:paraId="77250E23" w14:textId="252ADB55" w:rsidR="00744C57" w:rsidRPr="00744C57" w:rsidRDefault="00744C57" w:rsidP="00744C57">
      <w:pPr>
        <w:pStyle w:val="Default"/>
        <w:jc w:val="both"/>
      </w:pPr>
      <w:r w:rsidRPr="00744C57">
        <w:t>La présence d’un ou de plusieurs de ces signes doit vous amener à consulter</w:t>
      </w:r>
      <w:r w:rsidR="00481D24">
        <w:t xml:space="preserve"> le service de santé au travail.</w:t>
      </w:r>
    </w:p>
    <w:p w14:paraId="639C5BE2" w14:textId="77777777" w:rsidR="00A829D5" w:rsidRDefault="00A829D5" w:rsidP="00744C57">
      <w:pPr>
        <w:pStyle w:val="Default"/>
        <w:jc w:val="both"/>
      </w:pPr>
    </w:p>
    <w:p w14:paraId="007DE105" w14:textId="77777777" w:rsidR="00744C57" w:rsidRPr="00744C57" w:rsidRDefault="00744C57" w:rsidP="00744C57">
      <w:pPr>
        <w:pStyle w:val="Default"/>
        <w:jc w:val="both"/>
      </w:pPr>
    </w:p>
    <w:p w14:paraId="782E3037" w14:textId="3DF2238D" w:rsidR="00A9138E" w:rsidRPr="00744C57" w:rsidRDefault="00A9138E" w:rsidP="00865404">
      <w:pPr>
        <w:jc w:val="both"/>
        <w:rPr>
          <w:rFonts w:ascii="Arial" w:hAnsi="Arial" w:cs="Arial"/>
        </w:rPr>
      </w:pPr>
    </w:p>
    <w:sectPr w:rsidR="00A9138E" w:rsidRPr="00744C57" w:rsidSect="00865404">
      <w:footerReference w:type="default" r:id="rId7"/>
      <w:pgSz w:w="11906" w:h="16838"/>
      <w:pgMar w:top="568" w:right="1274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1572" w14:textId="77777777" w:rsidR="000B3B9D" w:rsidRDefault="000B3B9D" w:rsidP="00A9138E">
      <w:r>
        <w:separator/>
      </w:r>
    </w:p>
  </w:endnote>
  <w:endnote w:type="continuationSeparator" w:id="0">
    <w:p w14:paraId="1CDBF927" w14:textId="77777777" w:rsidR="000B3B9D" w:rsidRDefault="000B3B9D" w:rsidP="00A9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6D72" w14:textId="3CA28AB4" w:rsidR="00415CCF" w:rsidRDefault="00415CCF" w:rsidP="00A9138E">
    <w:pPr>
      <w:ind w:left="-360"/>
      <w:jc w:val="center"/>
      <w:rPr>
        <w:rFonts w:ascii="Arial" w:hAnsi="Arial" w:cs="Arial"/>
        <w:i/>
        <w:iCs/>
        <w:sz w:val="18"/>
        <w:szCs w:val="18"/>
      </w:rPr>
    </w:pPr>
  </w:p>
  <w:p w14:paraId="17C08077" w14:textId="77777777" w:rsidR="00415CCF" w:rsidRDefault="00415C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E0AE" w14:textId="77777777" w:rsidR="000B3B9D" w:rsidRDefault="000B3B9D" w:rsidP="00A9138E">
      <w:r>
        <w:separator/>
      </w:r>
    </w:p>
  </w:footnote>
  <w:footnote w:type="continuationSeparator" w:id="0">
    <w:p w14:paraId="2F974739" w14:textId="77777777" w:rsidR="000B3B9D" w:rsidRDefault="000B3B9D" w:rsidP="00A9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90255"/>
    <w:multiLevelType w:val="hybridMultilevel"/>
    <w:tmpl w:val="E9BA0C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8E"/>
    <w:rsid w:val="000A787E"/>
    <w:rsid w:val="000B3B9D"/>
    <w:rsid w:val="00175770"/>
    <w:rsid w:val="001845D8"/>
    <w:rsid w:val="00191DB4"/>
    <w:rsid w:val="001A3F93"/>
    <w:rsid w:val="001D5C9C"/>
    <w:rsid w:val="00331A84"/>
    <w:rsid w:val="00385B73"/>
    <w:rsid w:val="00415CCF"/>
    <w:rsid w:val="004361EA"/>
    <w:rsid w:val="004447BA"/>
    <w:rsid w:val="0045012A"/>
    <w:rsid w:val="00477EE6"/>
    <w:rsid w:val="00481D24"/>
    <w:rsid w:val="004870D7"/>
    <w:rsid w:val="00744C57"/>
    <w:rsid w:val="00865404"/>
    <w:rsid w:val="00987A66"/>
    <w:rsid w:val="009C3AAE"/>
    <w:rsid w:val="00A829D5"/>
    <w:rsid w:val="00A9138E"/>
    <w:rsid w:val="00AB6278"/>
    <w:rsid w:val="00C97E28"/>
    <w:rsid w:val="00D30CEA"/>
    <w:rsid w:val="00DA588A"/>
    <w:rsid w:val="00DA69EB"/>
    <w:rsid w:val="00E017C1"/>
    <w:rsid w:val="00EF27ED"/>
    <w:rsid w:val="00F2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3464"/>
  <w15:docId w15:val="{024CBE29-66AD-45EB-AAA9-EA0BAF65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13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38E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913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13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913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13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744C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Saint-Joseph Saint-Luc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Chardon Marc</dc:creator>
  <cp:lastModifiedBy>Marc CHARDON</cp:lastModifiedBy>
  <cp:revision>2</cp:revision>
  <cp:lastPrinted>2016-01-22T15:48:00Z</cp:lastPrinted>
  <dcterms:created xsi:type="dcterms:W3CDTF">2022-06-04T06:53:00Z</dcterms:created>
  <dcterms:modified xsi:type="dcterms:W3CDTF">2022-06-04T06:53:00Z</dcterms:modified>
</cp:coreProperties>
</file>